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5E03A" w14:textId="23E178A9" w:rsidR="00BF584F" w:rsidRDefault="0605D13E" w:rsidP="554E3606">
      <w:pPr>
        <w:jc w:val="center"/>
        <w:rPr>
          <w:rFonts w:eastAsiaTheme="minorEastAsia"/>
          <w:color w:val="000000" w:themeColor="text1"/>
          <w:sz w:val="24"/>
          <w:szCs w:val="24"/>
        </w:rPr>
      </w:pPr>
      <w:bookmarkStart w:id="0" w:name="_GoBack"/>
      <w:bookmarkEnd w:id="0"/>
      <w:r w:rsidRPr="554E3606">
        <w:rPr>
          <w:rFonts w:eastAsiaTheme="minorEastAsia"/>
          <w:b/>
          <w:bCs/>
          <w:color w:val="000000" w:themeColor="text1"/>
          <w:sz w:val="24"/>
          <w:szCs w:val="24"/>
        </w:rPr>
        <w:t>Teaching and Learning Team Update</w:t>
      </w:r>
    </w:p>
    <w:p w14:paraId="2A8FD20E" w14:textId="003BD081" w:rsidR="00BF584F" w:rsidRDefault="0605D13E" w:rsidP="554E3606">
      <w:pPr>
        <w:jc w:val="center"/>
        <w:rPr>
          <w:rFonts w:eastAsiaTheme="minorEastAsia"/>
          <w:color w:val="000000" w:themeColor="text1"/>
          <w:sz w:val="24"/>
          <w:szCs w:val="24"/>
        </w:rPr>
      </w:pPr>
      <w:r w:rsidRPr="554E3606">
        <w:rPr>
          <w:rFonts w:eastAsiaTheme="minorEastAsia"/>
          <w:color w:val="000000" w:themeColor="text1"/>
          <w:sz w:val="24"/>
          <w:szCs w:val="24"/>
        </w:rPr>
        <w:t>Lynn Meister, Director of Teaching and Learning</w:t>
      </w:r>
    </w:p>
    <w:p w14:paraId="0A8B027A" w14:textId="7047944E" w:rsidR="00BF584F" w:rsidRDefault="0605D13E" w:rsidP="554E3606">
      <w:pPr>
        <w:jc w:val="center"/>
        <w:rPr>
          <w:rFonts w:eastAsiaTheme="minorEastAsia"/>
          <w:color w:val="000000" w:themeColor="text1"/>
          <w:sz w:val="24"/>
          <w:szCs w:val="24"/>
        </w:rPr>
      </w:pPr>
      <w:r w:rsidRPr="554E3606">
        <w:rPr>
          <w:rFonts w:eastAsiaTheme="minorEastAsia"/>
          <w:color w:val="000000" w:themeColor="text1"/>
          <w:sz w:val="24"/>
          <w:szCs w:val="24"/>
        </w:rPr>
        <w:t>August 19, 202</w:t>
      </w:r>
      <w:r w:rsidR="0958105F" w:rsidRPr="554E3606">
        <w:rPr>
          <w:rFonts w:eastAsiaTheme="minorEastAsia"/>
          <w:color w:val="000000" w:themeColor="text1"/>
          <w:sz w:val="24"/>
          <w:szCs w:val="24"/>
        </w:rPr>
        <w:t>0</w:t>
      </w:r>
    </w:p>
    <w:p w14:paraId="580D7669" w14:textId="656E19EF" w:rsidR="554E3606" w:rsidRDefault="554E3606" w:rsidP="554E3606">
      <w:pPr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09AC1EC4" w14:textId="3A675302" w:rsidR="00BF584F" w:rsidRDefault="480C571E" w:rsidP="554E3606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554E3606">
        <w:rPr>
          <w:rFonts w:eastAsiaTheme="minorEastAsia"/>
          <w:color w:val="000000" w:themeColor="text1"/>
          <w:sz w:val="24"/>
          <w:szCs w:val="24"/>
        </w:rPr>
        <w:t xml:space="preserve">The new school year will be a busy and exciting </w:t>
      </w:r>
      <w:r w:rsidR="5D3E08C5" w:rsidRPr="554E3606">
        <w:rPr>
          <w:rFonts w:eastAsiaTheme="minorEastAsia"/>
          <w:color w:val="000000" w:themeColor="text1"/>
          <w:sz w:val="24"/>
          <w:szCs w:val="24"/>
        </w:rPr>
        <w:t xml:space="preserve">one </w:t>
      </w:r>
      <w:r w:rsidRPr="554E3606">
        <w:rPr>
          <w:rFonts w:eastAsiaTheme="minorEastAsia"/>
          <w:color w:val="000000" w:themeColor="text1"/>
          <w:sz w:val="24"/>
          <w:szCs w:val="24"/>
        </w:rPr>
        <w:t xml:space="preserve">for the Teaching and Learning Team. </w:t>
      </w:r>
      <w:r w:rsidR="39F02B24" w:rsidRPr="554E3606">
        <w:rPr>
          <w:rFonts w:eastAsiaTheme="minorEastAsia"/>
          <w:color w:val="000000" w:themeColor="text1"/>
          <w:sz w:val="24"/>
          <w:szCs w:val="24"/>
        </w:rPr>
        <w:t xml:space="preserve"> W</w:t>
      </w:r>
      <w:r w:rsidRPr="554E3606">
        <w:rPr>
          <w:rFonts w:eastAsiaTheme="minorEastAsia"/>
          <w:color w:val="000000" w:themeColor="text1"/>
          <w:sz w:val="24"/>
          <w:szCs w:val="24"/>
        </w:rPr>
        <w:t>e</w:t>
      </w:r>
      <w:r w:rsidR="6B399031" w:rsidRPr="554E3606">
        <w:rPr>
          <w:rFonts w:eastAsiaTheme="minorEastAsia"/>
          <w:color w:val="000000" w:themeColor="text1"/>
          <w:sz w:val="24"/>
          <w:szCs w:val="24"/>
        </w:rPr>
        <w:t xml:space="preserve"> now have</w:t>
      </w:r>
      <w:r w:rsidRPr="554E3606">
        <w:rPr>
          <w:rFonts w:eastAsiaTheme="minorEastAsia"/>
          <w:color w:val="000000" w:themeColor="text1"/>
          <w:sz w:val="24"/>
          <w:szCs w:val="24"/>
        </w:rPr>
        <w:t xml:space="preserve"> five districts contr</w:t>
      </w:r>
      <w:r w:rsidR="5D8B9C7D" w:rsidRPr="554E3606">
        <w:rPr>
          <w:rFonts w:eastAsiaTheme="minorEastAsia"/>
          <w:color w:val="000000" w:themeColor="text1"/>
          <w:sz w:val="24"/>
          <w:szCs w:val="24"/>
        </w:rPr>
        <w:t>acting for services: Northmor, Lucas, Crestline, Mansfield City, and Madison.  In addition, we will be pr</w:t>
      </w:r>
      <w:r w:rsidR="14DF28F9" w:rsidRPr="554E3606">
        <w:rPr>
          <w:rFonts w:eastAsiaTheme="minorEastAsia"/>
          <w:color w:val="000000" w:themeColor="text1"/>
          <w:sz w:val="24"/>
          <w:szCs w:val="24"/>
        </w:rPr>
        <w:t>oviding</w:t>
      </w:r>
      <w:r w:rsidR="05A3DA52" w:rsidRPr="554E3606">
        <w:rPr>
          <w:rFonts w:eastAsiaTheme="minorEastAsia"/>
          <w:color w:val="000000" w:themeColor="text1"/>
          <w:sz w:val="24"/>
          <w:szCs w:val="24"/>
        </w:rPr>
        <w:t xml:space="preserve"> extensive contracted</w:t>
      </w:r>
      <w:r w:rsidR="14DF28F9" w:rsidRPr="554E3606">
        <w:rPr>
          <w:rFonts w:eastAsiaTheme="minorEastAsia"/>
          <w:color w:val="000000" w:themeColor="text1"/>
          <w:sz w:val="24"/>
          <w:szCs w:val="24"/>
        </w:rPr>
        <w:t xml:space="preserve"> services for Mid-Ohio's two literacy grants, the Striving Readers Grant and the new Comprehensive Literacy State Development Grant.  </w:t>
      </w:r>
      <w:r w:rsidR="269BD933" w:rsidRPr="554E3606">
        <w:rPr>
          <w:rFonts w:eastAsiaTheme="minorEastAsia"/>
          <w:color w:val="000000" w:themeColor="text1"/>
          <w:sz w:val="24"/>
          <w:szCs w:val="24"/>
        </w:rPr>
        <w:t>Teaching and Learning currently has</w:t>
      </w:r>
      <w:r w:rsidR="31A9AEA8" w:rsidRPr="554E3606">
        <w:rPr>
          <w:rFonts w:eastAsiaTheme="minorEastAsia"/>
          <w:color w:val="000000" w:themeColor="text1"/>
          <w:sz w:val="24"/>
          <w:szCs w:val="24"/>
        </w:rPr>
        <w:t xml:space="preserve"> ten</w:t>
      </w:r>
      <w:r w:rsidR="14DF28F9" w:rsidRPr="554E3606">
        <w:rPr>
          <w:rFonts w:eastAsiaTheme="minorEastAsia"/>
          <w:color w:val="000000" w:themeColor="text1"/>
          <w:sz w:val="24"/>
          <w:szCs w:val="24"/>
        </w:rPr>
        <w:t xml:space="preserve"> (</w:t>
      </w:r>
      <w:r w:rsidR="208A49D3" w:rsidRPr="554E3606">
        <w:rPr>
          <w:rFonts w:eastAsiaTheme="minorEastAsia"/>
          <w:color w:val="000000" w:themeColor="text1"/>
          <w:sz w:val="24"/>
          <w:szCs w:val="24"/>
        </w:rPr>
        <w:t>10</w:t>
      </w:r>
      <w:r w:rsidR="14DF28F9" w:rsidRPr="554E3606">
        <w:rPr>
          <w:rFonts w:eastAsiaTheme="minorEastAsia"/>
          <w:color w:val="000000" w:themeColor="text1"/>
          <w:sz w:val="24"/>
          <w:szCs w:val="24"/>
        </w:rPr>
        <w:t>) units contra</w:t>
      </w:r>
      <w:r w:rsidR="1BC7B2C1" w:rsidRPr="554E3606">
        <w:rPr>
          <w:rFonts w:eastAsiaTheme="minorEastAsia"/>
          <w:color w:val="000000" w:themeColor="text1"/>
          <w:sz w:val="24"/>
          <w:szCs w:val="24"/>
        </w:rPr>
        <w:t>cted with districts and grants</w:t>
      </w:r>
      <w:r w:rsidR="3F01835D" w:rsidRPr="554E3606">
        <w:rPr>
          <w:rFonts w:eastAsiaTheme="minorEastAsia"/>
          <w:color w:val="000000" w:themeColor="text1"/>
          <w:sz w:val="24"/>
          <w:szCs w:val="24"/>
        </w:rPr>
        <w:t xml:space="preserve">, up from four </w:t>
      </w:r>
      <w:r w:rsidR="1310797D" w:rsidRPr="554E3606">
        <w:rPr>
          <w:rFonts w:eastAsiaTheme="minorEastAsia"/>
          <w:color w:val="000000" w:themeColor="text1"/>
          <w:sz w:val="24"/>
          <w:szCs w:val="24"/>
        </w:rPr>
        <w:t>(4) units last school year</w:t>
      </w:r>
      <w:r w:rsidR="1BC7B2C1" w:rsidRPr="554E3606">
        <w:rPr>
          <w:rFonts w:eastAsiaTheme="minorEastAsia"/>
          <w:color w:val="000000" w:themeColor="text1"/>
          <w:sz w:val="24"/>
          <w:szCs w:val="24"/>
        </w:rPr>
        <w:t>.</w:t>
      </w:r>
      <w:r w:rsidR="160F3096" w:rsidRPr="554E3606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95B6799" w:rsidRPr="554E3606">
        <w:rPr>
          <w:rFonts w:eastAsiaTheme="minorEastAsia"/>
          <w:color w:val="000000" w:themeColor="text1"/>
          <w:sz w:val="24"/>
          <w:szCs w:val="24"/>
        </w:rPr>
        <w:t>The team also has contracts with non-</w:t>
      </w:r>
      <w:r w:rsidR="3C82B1D9" w:rsidRPr="554E3606">
        <w:rPr>
          <w:rFonts w:eastAsiaTheme="minorEastAsia"/>
          <w:color w:val="000000" w:themeColor="text1"/>
          <w:sz w:val="24"/>
          <w:szCs w:val="24"/>
        </w:rPr>
        <w:t>public schools in Richland, Crawford, and Ashland counties.</w:t>
      </w:r>
    </w:p>
    <w:p w14:paraId="6EF3C269" w14:textId="5074AE8F" w:rsidR="00BF584F" w:rsidRDefault="00BF584F" w:rsidP="554E3606">
      <w:pPr>
        <w:spacing w:line="240" w:lineRule="auto"/>
        <w:ind w:left="360"/>
        <w:rPr>
          <w:rFonts w:eastAsiaTheme="minorEastAsia"/>
          <w:color w:val="000000" w:themeColor="text1"/>
          <w:sz w:val="24"/>
          <w:szCs w:val="24"/>
        </w:rPr>
      </w:pPr>
    </w:p>
    <w:p w14:paraId="29EA5F22" w14:textId="332E7B60" w:rsidR="00BF584F" w:rsidRDefault="6C72EAAA" w:rsidP="554E3606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554E3606">
        <w:rPr>
          <w:rFonts w:eastAsiaTheme="minorEastAsia"/>
          <w:color w:val="000000" w:themeColor="text1"/>
          <w:sz w:val="24"/>
          <w:szCs w:val="24"/>
        </w:rPr>
        <w:t>The new Comprehensive Literacy State Development Grant, in the amount of $1,050,000 will be tremendous opportunity to showcase the Teaching and Learn</w:t>
      </w:r>
      <w:r w:rsidR="3D16426E" w:rsidRPr="554E3606">
        <w:rPr>
          <w:rFonts w:eastAsiaTheme="minorEastAsia"/>
          <w:color w:val="000000" w:themeColor="text1"/>
          <w:sz w:val="24"/>
          <w:szCs w:val="24"/>
        </w:rPr>
        <w:t>ing team’s extensive expertise in the area of literacy.</w:t>
      </w:r>
      <w:r w:rsidR="7DD91965" w:rsidRPr="554E3606">
        <w:rPr>
          <w:rFonts w:eastAsiaTheme="minorEastAsia"/>
          <w:color w:val="000000" w:themeColor="text1"/>
          <w:sz w:val="24"/>
          <w:szCs w:val="24"/>
        </w:rPr>
        <w:t xml:space="preserve">  The model sites involved in this grant </w:t>
      </w:r>
      <w:proofErr w:type="gramStart"/>
      <w:r w:rsidR="7DD91965" w:rsidRPr="554E3606">
        <w:rPr>
          <w:rFonts w:eastAsiaTheme="minorEastAsia"/>
          <w:color w:val="000000" w:themeColor="text1"/>
          <w:sz w:val="24"/>
          <w:szCs w:val="24"/>
        </w:rPr>
        <w:t>are</w:t>
      </w:r>
      <w:proofErr w:type="gramEnd"/>
      <w:r w:rsidR="7DD91965" w:rsidRPr="554E3606">
        <w:rPr>
          <w:rFonts w:eastAsiaTheme="minorEastAsia"/>
          <w:color w:val="000000" w:themeColor="text1"/>
          <w:sz w:val="24"/>
          <w:szCs w:val="24"/>
        </w:rPr>
        <w:t xml:space="preserve"> Mansfield City’s </w:t>
      </w:r>
      <w:proofErr w:type="spellStart"/>
      <w:r w:rsidR="7DD91965" w:rsidRPr="554E3606">
        <w:rPr>
          <w:rFonts w:eastAsiaTheme="minorEastAsia"/>
          <w:color w:val="000000" w:themeColor="text1"/>
          <w:sz w:val="24"/>
          <w:szCs w:val="24"/>
        </w:rPr>
        <w:t>Springmill</w:t>
      </w:r>
      <w:proofErr w:type="spellEnd"/>
      <w:r w:rsidR="7DD91965" w:rsidRPr="554E3606">
        <w:rPr>
          <w:rFonts w:eastAsiaTheme="minorEastAsia"/>
          <w:color w:val="000000" w:themeColor="text1"/>
          <w:sz w:val="24"/>
          <w:szCs w:val="24"/>
        </w:rPr>
        <w:t xml:space="preserve"> STEM Elementary and Plymouth-Shiloh</w:t>
      </w:r>
      <w:r w:rsidR="3D16426E" w:rsidRPr="554E3606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EF7BC3" w:rsidRPr="554E3606">
        <w:rPr>
          <w:rFonts w:eastAsiaTheme="minorEastAsia"/>
          <w:color w:val="000000" w:themeColor="text1"/>
          <w:sz w:val="24"/>
          <w:szCs w:val="24"/>
        </w:rPr>
        <w:t xml:space="preserve">Elementary.  During the next four years, these buildings will become models for </w:t>
      </w:r>
      <w:r w:rsidR="326B319D" w:rsidRPr="554E3606">
        <w:rPr>
          <w:rFonts w:eastAsiaTheme="minorEastAsia"/>
          <w:color w:val="000000" w:themeColor="text1"/>
          <w:sz w:val="24"/>
          <w:szCs w:val="24"/>
        </w:rPr>
        <w:t>other districts and buildings in the region and across the state to learn from and visit.  Mid-Ohio</w:t>
      </w:r>
      <w:r w:rsidR="3D16426E" w:rsidRPr="554E3606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E54ED49" w:rsidRPr="554E3606">
        <w:rPr>
          <w:rFonts w:eastAsiaTheme="minorEastAsia"/>
          <w:color w:val="000000" w:themeColor="text1"/>
          <w:sz w:val="24"/>
          <w:szCs w:val="24"/>
        </w:rPr>
        <w:t>will provide the professional development, coaching, intensive support</w:t>
      </w:r>
      <w:r w:rsidR="6B4DA8A6" w:rsidRPr="554E3606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2E54ED49" w:rsidRPr="554E3606">
        <w:rPr>
          <w:rFonts w:eastAsiaTheme="minorEastAsia"/>
          <w:color w:val="000000" w:themeColor="text1"/>
          <w:sz w:val="24"/>
          <w:szCs w:val="24"/>
        </w:rPr>
        <w:t xml:space="preserve">and </w:t>
      </w:r>
      <w:r w:rsidR="2175AE42" w:rsidRPr="554E3606">
        <w:rPr>
          <w:rFonts w:eastAsiaTheme="minorEastAsia"/>
          <w:color w:val="000000" w:themeColor="text1"/>
          <w:sz w:val="24"/>
          <w:szCs w:val="24"/>
        </w:rPr>
        <w:t>other necessary</w:t>
      </w:r>
      <w:r w:rsidR="2E54ED49" w:rsidRPr="554E3606">
        <w:rPr>
          <w:rFonts w:eastAsiaTheme="minorEastAsia"/>
          <w:color w:val="000000" w:themeColor="text1"/>
          <w:sz w:val="24"/>
          <w:szCs w:val="24"/>
        </w:rPr>
        <w:t xml:space="preserve"> services to help the model sites transform their</w:t>
      </w:r>
      <w:r w:rsidR="615D25E8" w:rsidRPr="554E3606">
        <w:rPr>
          <w:rFonts w:eastAsiaTheme="minorEastAsia"/>
          <w:color w:val="000000" w:themeColor="text1"/>
          <w:sz w:val="24"/>
          <w:szCs w:val="24"/>
        </w:rPr>
        <w:t xml:space="preserve"> work in reading and writing</w:t>
      </w:r>
      <w:r w:rsidR="1E45261F" w:rsidRPr="554E3606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69F058AA" w:rsidRPr="554E3606">
        <w:rPr>
          <w:rFonts w:eastAsiaTheme="minorEastAsia"/>
          <w:color w:val="000000" w:themeColor="text1"/>
          <w:sz w:val="24"/>
          <w:szCs w:val="24"/>
        </w:rPr>
        <w:t xml:space="preserve"> From developing schoolwide literacy systems to training teachers in evidence-based</w:t>
      </w:r>
      <w:r w:rsidR="1E45261F" w:rsidRPr="554E3606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D023EE6" w:rsidRPr="554E3606">
        <w:rPr>
          <w:rFonts w:eastAsiaTheme="minorEastAsia"/>
          <w:color w:val="000000" w:themeColor="text1"/>
          <w:sz w:val="24"/>
          <w:szCs w:val="24"/>
        </w:rPr>
        <w:t>instructional practices</w:t>
      </w:r>
      <w:r w:rsidR="2BE8F5DE" w:rsidRPr="554E3606">
        <w:rPr>
          <w:rFonts w:eastAsiaTheme="minorEastAsia"/>
          <w:color w:val="000000" w:themeColor="text1"/>
          <w:sz w:val="24"/>
          <w:szCs w:val="24"/>
        </w:rPr>
        <w:t xml:space="preserve">, Mid-Ohio will help lead the region in model literacy practices for grades K – 5.  </w:t>
      </w:r>
    </w:p>
    <w:p w14:paraId="1F0C5633" w14:textId="74A39EF6" w:rsidR="00BF584F" w:rsidRDefault="6876670E" w:rsidP="554E3606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554E3606">
        <w:rPr>
          <w:rFonts w:eastAsiaTheme="minorEastAsia"/>
          <w:color w:val="000000" w:themeColor="text1"/>
          <w:sz w:val="24"/>
          <w:szCs w:val="24"/>
        </w:rPr>
        <w:t>I am looking forward to working with the gifted team, literacy grant team, and Teaching and Learning team members this yea</w:t>
      </w:r>
      <w:r w:rsidR="33DD99FD" w:rsidRPr="554E3606">
        <w:rPr>
          <w:rFonts w:eastAsiaTheme="minorEastAsia"/>
          <w:color w:val="000000" w:themeColor="text1"/>
          <w:sz w:val="24"/>
          <w:szCs w:val="24"/>
        </w:rPr>
        <w:t>r. We are adding two new members: Colleen Haynes as a part-time gifted consultant, and Kelly Britton to serve on the Teaching and Lea</w:t>
      </w:r>
      <w:r w:rsidR="3AFF6A2D" w:rsidRPr="554E3606">
        <w:rPr>
          <w:rFonts w:eastAsiaTheme="minorEastAsia"/>
          <w:color w:val="000000" w:themeColor="text1"/>
          <w:sz w:val="24"/>
          <w:szCs w:val="24"/>
        </w:rPr>
        <w:t>rning team.</w:t>
      </w:r>
      <w:r w:rsidR="54F6EC87" w:rsidRPr="554E3606">
        <w:rPr>
          <w:rFonts w:eastAsiaTheme="minorEastAsia"/>
          <w:color w:val="000000" w:themeColor="text1"/>
          <w:sz w:val="24"/>
          <w:szCs w:val="24"/>
        </w:rPr>
        <w:t xml:space="preserve">  Kelly will serve half time as the school improvement coordinator for Mansfield Middle School and half time as a literacy consultant for Teaching and Learning. </w:t>
      </w:r>
    </w:p>
    <w:p w14:paraId="3E687D9C" w14:textId="4CF2EC1E" w:rsidR="554E3606" w:rsidRDefault="554E3606" w:rsidP="554E3606">
      <w:pPr>
        <w:spacing w:line="240" w:lineRule="auto"/>
        <w:ind w:left="360" w:hanging="360"/>
        <w:rPr>
          <w:rFonts w:eastAsiaTheme="minorEastAsia"/>
          <w:color w:val="000000" w:themeColor="text1"/>
          <w:sz w:val="24"/>
          <w:szCs w:val="24"/>
        </w:rPr>
      </w:pPr>
    </w:p>
    <w:p w14:paraId="24ABFFE8" w14:textId="4101FA52" w:rsidR="1268C220" w:rsidRDefault="1268C220" w:rsidP="554E3606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554E3606">
        <w:rPr>
          <w:rFonts w:eastAsiaTheme="minorEastAsia"/>
          <w:color w:val="000000" w:themeColor="text1"/>
          <w:sz w:val="24"/>
          <w:szCs w:val="24"/>
        </w:rPr>
        <w:t>The Teaching and Learning, gifted, and grant teams are ready to provide services in person or virtually, depending on districts’ needs.  The staff is looking forward to a great year</w:t>
      </w:r>
      <w:r w:rsidR="475A8E4E" w:rsidRPr="554E3606">
        <w:rPr>
          <w:rFonts w:eastAsiaTheme="minorEastAsia"/>
          <w:color w:val="000000" w:themeColor="text1"/>
          <w:sz w:val="24"/>
          <w:szCs w:val="24"/>
        </w:rPr>
        <w:t>!</w:t>
      </w:r>
    </w:p>
    <w:p w14:paraId="5E658588" w14:textId="21E6AAB3" w:rsidR="00BF584F" w:rsidRDefault="00BF584F" w:rsidP="554E3606">
      <w:pPr>
        <w:spacing w:line="240" w:lineRule="auto"/>
        <w:ind w:left="360" w:hanging="360"/>
        <w:rPr>
          <w:rFonts w:eastAsiaTheme="minorEastAsia"/>
          <w:color w:val="000000" w:themeColor="text1"/>
          <w:sz w:val="24"/>
          <w:szCs w:val="24"/>
        </w:rPr>
      </w:pPr>
    </w:p>
    <w:p w14:paraId="2C078E63" w14:textId="5574A5B2" w:rsidR="00BF584F" w:rsidRDefault="0605D13E" w:rsidP="554E3606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54E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As always, thank you for your continued support of the Teaching and Learning program!</w:t>
      </w:r>
      <w:r w:rsidRPr="554E3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BF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67F81"/>
    <w:multiLevelType w:val="hybridMultilevel"/>
    <w:tmpl w:val="7BEC9070"/>
    <w:lvl w:ilvl="0" w:tplc="8A242DA8">
      <w:start w:val="1"/>
      <w:numFmt w:val="decimal"/>
      <w:lvlText w:val="%1."/>
      <w:lvlJc w:val="left"/>
      <w:pPr>
        <w:ind w:left="720" w:hanging="360"/>
      </w:pPr>
    </w:lvl>
    <w:lvl w:ilvl="1" w:tplc="FB2093C6">
      <w:start w:val="1"/>
      <w:numFmt w:val="lowerLetter"/>
      <w:lvlText w:val="%2."/>
      <w:lvlJc w:val="left"/>
      <w:pPr>
        <w:ind w:left="1440" w:hanging="360"/>
      </w:pPr>
    </w:lvl>
    <w:lvl w:ilvl="2" w:tplc="C0AAA9A4">
      <w:start w:val="1"/>
      <w:numFmt w:val="lowerRoman"/>
      <w:lvlText w:val="%3."/>
      <w:lvlJc w:val="right"/>
      <w:pPr>
        <w:ind w:left="2160" w:hanging="180"/>
      </w:pPr>
    </w:lvl>
    <w:lvl w:ilvl="3" w:tplc="AD007D2C">
      <w:start w:val="1"/>
      <w:numFmt w:val="decimal"/>
      <w:lvlText w:val="%4."/>
      <w:lvlJc w:val="left"/>
      <w:pPr>
        <w:ind w:left="2880" w:hanging="360"/>
      </w:pPr>
    </w:lvl>
    <w:lvl w:ilvl="4" w:tplc="720A4ECE">
      <w:start w:val="1"/>
      <w:numFmt w:val="lowerLetter"/>
      <w:lvlText w:val="%5."/>
      <w:lvlJc w:val="left"/>
      <w:pPr>
        <w:ind w:left="3600" w:hanging="360"/>
      </w:pPr>
    </w:lvl>
    <w:lvl w:ilvl="5" w:tplc="C67ABD7E">
      <w:start w:val="1"/>
      <w:numFmt w:val="lowerRoman"/>
      <w:lvlText w:val="%6."/>
      <w:lvlJc w:val="right"/>
      <w:pPr>
        <w:ind w:left="4320" w:hanging="180"/>
      </w:pPr>
    </w:lvl>
    <w:lvl w:ilvl="6" w:tplc="1194B8AC">
      <w:start w:val="1"/>
      <w:numFmt w:val="decimal"/>
      <w:lvlText w:val="%7."/>
      <w:lvlJc w:val="left"/>
      <w:pPr>
        <w:ind w:left="5040" w:hanging="360"/>
      </w:pPr>
    </w:lvl>
    <w:lvl w:ilvl="7" w:tplc="55E81F16">
      <w:start w:val="1"/>
      <w:numFmt w:val="lowerLetter"/>
      <w:lvlText w:val="%8."/>
      <w:lvlJc w:val="left"/>
      <w:pPr>
        <w:ind w:left="5760" w:hanging="360"/>
      </w:pPr>
    </w:lvl>
    <w:lvl w:ilvl="8" w:tplc="0D280B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40C8AC"/>
    <w:rsid w:val="007A2A1E"/>
    <w:rsid w:val="00BF584F"/>
    <w:rsid w:val="00EF7BC3"/>
    <w:rsid w:val="017B1289"/>
    <w:rsid w:val="02D81640"/>
    <w:rsid w:val="0327AE82"/>
    <w:rsid w:val="05A3DA52"/>
    <w:rsid w:val="0605D13E"/>
    <w:rsid w:val="0743B891"/>
    <w:rsid w:val="079C779B"/>
    <w:rsid w:val="08AD6F30"/>
    <w:rsid w:val="0958105F"/>
    <w:rsid w:val="09EDDD2E"/>
    <w:rsid w:val="0BAF729F"/>
    <w:rsid w:val="0FFA3590"/>
    <w:rsid w:val="1040C8AC"/>
    <w:rsid w:val="10911B87"/>
    <w:rsid w:val="1268C220"/>
    <w:rsid w:val="130753AD"/>
    <w:rsid w:val="1310797D"/>
    <w:rsid w:val="14DF28F9"/>
    <w:rsid w:val="158755EC"/>
    <w:rsid w:val="160F3096"/>
    <w:rsid w:val="1BC7B2C1"/>
    <w:rsid w:val="1E0B4CAE"/>
    <w:rsid w:val="1E45261F"/>
    <w:rsid w:val="208A49D3"/>
    <w:rsid w:val="20AEAFB8"/>
    <w:rsid w:val="2175AE42"/>
    <w:rsid w:val="219F1E6E"/>
    <w:rsid w:val="21D2F424"/>
    <w:rsid w:val="252976DC"/>
    <w:rsid w:val="269BD933"/>
    <w:rsid w:val="2A1E90C3"/>
    <w:rsid w:val="2A50ACFE"/>
    <w:rsid w:val="2BE8F5DE"/>
    <w:rsid w:val="2E54ED49"/>
    <w:rsid w:val="31A9AEA8"/>
    <w:rsid w:val="326B319D"/>
    <w:rsid w:val="32B4930C"/>
    <w:rsid w:val="33DD99FD"/>
    <w:rsid w:val="37B1795A"/>
    <w:rsid w:val="39F02B24"/>
    <w:rsid w:val="3A6D3228"/>
    <w:rsid w:val="3AFF6A2D"/>
    <w:rsid w:val="3C82B1D9"/>
    <w:rsid w:val="3D16426E"/>
    <w:rsid w:val="3F01835D"/>
    <w:rsid w:val="3FDD7053"/>
    <w:rsid w:val="418A677B"/>
    <w:rsid w:val="41D88DF5"/>
    <w:rsid w:val="4225CFF7"/>
    <w:rsid w:val="4250E1D5"/>
    <w:rsid w:val="45FA880A"/>
    <w:rsid w:val="465F9F06"/>
    <w:rsid w:val="475A8E4E"/>
    <w:rsid w:val="480C571E"/>
    <w:rsid w:val="490B8B82"/>
    <w:rsid w:val="492DA298"/>
    <w:rsid w:val="4B04AECB"/>
    <w:rsid w:val="4D023EE6"/>
    <w:rsid w:val="4DD9D91C"/>
    <w:rsid w:val="50E3F547"/>
    <w:rsid w:val="52946E32"/>
    <w:rsid w:val="5459D77E"/>
    <w:rsid w:val="54F6EC87"/>
    <w:rsid w:val="554E3606"/>
    <w:rsid w:val="5666220B"/>
    <w:rsid w:val="56E8A089"/>
    <w:rsid w:val="589252BD"/>
    <w:rsid w:val="595B6799"/>
    <w:rsid w:val="5BA32EF7"/>
    <w:rsid w:val="5D3E08C5"/>
    <w:rsid w:val="5D8B9C7D"/>
    <w:rsid w:val="5E2617E5"/>
    <w:rsid w:val="5E414791"/>
    <w:rsid w:val="60609555"/>
    <w:rsid w:val="6068EEFD"/>
    <w:rsid w:val="615D25E8"/>
    <w:rsid w:val="6876670E"/>
    <w:rsid w:val="69D762FC"/>
    <w:rsid w:val="69F058AA"/>
    <w:rsid w:val="6B399031"/>
    <w:rsid w:val="6B4DA8A6"/>
    <w:rsid w:val="6C72EAAA"/>
    <w:rsid w:val="6D6D6376"/>
    <w:rsid w:val="7385B17B"/>
    <w:rsid w:val="75A27B7D"/>
    <w:rsid w:val="75B6FA28"/>
    <w:rsid w:val="77809456"/>
    <w:rsid w:val="77B2F743"/>
    <w:rsid w:val="7DD91965"/>
    <w:rsid w:val="7E5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1B64"/>
  <w15:chartTrackingRefBased/>
  <w15:docId w15:val="{230E4604-2D61-4051-BB6C-993A5794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M. Meister</dc:creator>
  <cp:keywords/>
  <dc:description/>
  <cp:lastModifiedBy>Leigh Gribble</cp:lastModifiedBy>
  <cp:revision>2</cp:revision>
  <dcterms:created xsi:type="dcterms:W3CDTF">2020-08-06T18:49:00Z</dcterms:created>
  <dcterms:modified xsi:type="dcterms:W3CDTF">2020-08-06T18:49:00Z</dcterms:modified>
</cp:coreProperties>
</file>